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EB" w:rsidRPr="00F433D9" w:rsidRDefault="002E0DEB" w:rsidP="00F433D9">
      <w:pPr>
        <w:spacing w:after="0" w:line="360" w:lineRule="auto"/>
        <w:jc w:val="center"/>
        <w:outlineLvl w:val="0"/>
        <w:rPr>
          <w:rFonts w:ascii="Garamond" w:eastAsia="Times New Roman" w:hAnsi="Garamond" w:cs="Arial"/>
          <w:b/>
          <w:bCs/>
          <w:caps/>
          <w:color w:val="000000" w:themeColor="text1"/>
          <w:kern w:val="36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bCs/>
          <w:caps/>
          <w:color w:val="000000" w:themeColor="text1"/>
          <w:kern w:val="36"/>
          <w:sz w:val="26"/>
          <w:szCs w:val="26"/>
          <w:lang w:eastAsia="es-CO"/>
        </w:rPr>
        <w:t>POLÍTICA DE TRATAMIENTO DE DATOS PERSONALES</w:t>
      </w:r>
    </w:p>
    <w:p w:rsidR="002E0DEB" w:rsidRPr="00F433D9" w:rsidRDefault="002E0DEB" w:rsidP="00F433D9">
      <w:pPr>
        <w:spacing w:after="0" w:line="360" w:lineRule="auto"/>
        <w:jc w:val="center"/>
        <w:outlineLvl w:val="0"/>
        <w:rPr>
          <w:rFonts w:ascii="Garamond" w:eastAsia="Times New Roman" w:hAnsi="Garamond" w:cs="Arial"/>
          <w:b/>
          <w:bCs/>
          <w:caps/>
          <w:color w:val="000000" w:themeColor="text1"/>
          <w:kern w:val="36"/>
          <w:sz w:val="26"/>
          <w:szCs w:val="26"/>
          <w:lang w:eastAsia="es-CO"/>
        </w:rPr>
      </w:pPr>
    </w:p>
    <w:p w:rsidR="002E0DEB" w:rsidRDefault="00F433D9" w:rsidP="00F433D9">
      <w:pPr>
        <w:spacing w:after="180" w:line="360" w:lineRule="auto"/>
        <w:jc w:val="center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es-CO"/>
        </w:rPr>
        <w:t>PRESENTACIÓN</w:t>
      </w:r>
    </w:p>
    <w:p w:rsidR="00F433D9" w:rsidRPr="00F433D9" w:rsidRDefault="00F433D9" w:rsidP="00F433D9">
      <w:pPr>
        <w:spacing w:after="180" w:line="360" w:lineRule="auto"/>
        <w:jc w:val="center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es-CO"/>
        </w:rPr>
      </w:pP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 w:themeColor="text1"/>
          <w:sz w:val="26"/>
          <w:szCs w:val="26"/>
          <w:lang w:eastAsia="es-CO"/>
        </w:rPr>
        <w:t xml:space="preserve">Con el objetivo de dar cumplimiento a la legislación vigente en materia de protección de datos, en especial la Ley 1581 de 2012 (y demás normas que la modifiquen, adicionen, complementen o desarrollen) y al Decreto 1377 de 2013, a continuación lo ponemos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al tanto de los aspectos relevantes en relación con la recolección, uso y transferencia de datos personales que 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La CLINICA ODONTOLOGICA ODONTOVITAL S.A.S con Nit. 900019871-7 ubicada en la ciudad de Armenia y Pereira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, realiza de sus datos personales, en virtud de la autorización otorgada por usted para adelantar dicho tratamiento, así como también el manejo.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En esta política de tratamiento de datos personales encontrará los lineamientos corporativos y de ley bajo los cuales 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realiza el tratamiento de sus datos, la finalidad, sus derechos como titular, así como los procedimientos internos y externos para el ejercicio de tales derechos.</w:t>
      </w:r>
    </w:p>
    <w:p w:rsidR="002E0DEB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Conforme a lo previsto en el artículo 15 de la Constitución Política de Colombia y la legislación aplicable (Ley 1266 de 2008, Ley 1581 de 2012, Decreto 1377 de 2013 y todas aquellas normas que las reglamenten, adicionen, deroguen o modifiquen), tenemos una clara política de privacidad y protección de sus datos personales: no obtenemos información personal de terceros que tengan una relación comercial o jurídica con la Compañía, incluyéndolo a usted, a los Clientes, Empleados o Proveedores, a menos que estos la hayan suministrado voluntariamente mediante su consentimiento previo, expreso y calificado.</w:t>
      </w:r>
    </w:p>
    <w:p w:rsidR="00F433D9" w:rsidRPr="00F433D9" w:rsidRDefault="00F433D9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</w:p>
    <w:p w:rsidR="002E0DEB" w:rsidRPr="00F433D9" w:rsidRDefault="00F433D9" w:rsidP="00F433D9">
      <w:pPr>
        <w:spacing w:after="180" w:line="360" w:lineRule="auto"/>
        <w:jc w:val="center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lastRenderedPageBreak/>
        <w:t>DEFINICIONES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Para la interpretación de esta Política, le pedimos tener en cuenta las siguientes definiciones: </w:t>
      </w:r>
    </w:p>
    <w:p w:rsidR="00F433D9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Dato personal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: Cualquier información vinculada o que pueda asociarse a una o varias personas naturale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s determinadas o determinables.</w:t>
      </w:r>
    </w:p>
    <w:p w:rsidR="00F433D9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Datos sensibles: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Aquellos datos que afectan la intimidad del Titular o cuyo uso indebido p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uede generar su discriminación.</w:t>
      </w:r>
    </w:p>
    <w:p w:rsidR="00F433D9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Encargado del Tratamiento: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Persona natural o jurídica, pública o privada, que por sí misma o en asocio con otros, realice el Tratamiento de datos personales por cuenta de la Compañía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como Responsable de los datos.</w:t>
      </w:r>
    </w:p>
    <w:p w:rsidR="00F433D9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Política de Tratamiento: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Se refiere al presente documento, como política de tratamiento de datos personales aplicada por la Compañía de conformidad con los lineamientos de la legislación 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vigente en la materia</w:t>
      </w:r>
    </w:p>
    <w:p w:rsidR="00F433D9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Proveedor: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Toda persona natural o jurídica que preste algún servicio a la Compañía en virtud de una re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lación contractual/obligacional.</w:t>
      </w:r>
    </w:p>
    <w:p w:rsidR="00F433D9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Responsable del Tratamiento: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Persona natural o jurídica, pública o privada, que por sí misma o en asocio con otros, decida sobre la base de datos y/o el Tratamiento de los datos, para efectos de esta política, ejercerá como Respons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able, en principio, la Compañía.</w:t>
      </w:r>
    </w:p>
    <w:p w:rsidR="00F433D9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Titular: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Persona natural cuyos datos personales sean objeto de Tratamiento, sea cliente, proveedor, empleado, o cualquier tercero que, en razón de una relación comercial o jurídica, suministre</w:t>
      </w:r>
      <w:r w:rsid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datos personales a la Compañía.</w:t>
      </w:r>
    </w:p>
    <w:p w:rsidR="001F5195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Trabajador: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Toda persona natural que preste un servicio a la Compañía en virtud de un contrato laboral.</w:t>
      </w:r>
    </w:p>
    <w:p w:rsidR="001F5195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1F5195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lastRenderedPageBreak/>
        <w:t>Transferencia</w:t>
      </w:r>
      <w:r w:rsidRPr="001F5195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: Se refiere al envío por parte de la Compañía como Responsable del Tratamiento o un Encargado de los datos, a un tercer agente o persona natural/jurídica (receptor), dentro o fuera del territorio nacional para el tratamiento efectivo de datos</w:t>
      </w:r>
      <w:r w:rsidR="001F5195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personales.</w:t>
      </w:r>
    </w:p>
    <w:p w:rsidR="001F5195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1F5195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Trasmisión:</w:t>
      </w:r>
      <w:r w:rsidRPr="001F5195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se refiere a la comunicación de datos personales por parte del Responsable al Encargado, ubicado dentro o fuera del territorio nacional, para que el Encargado, por cuenta del Resp</w:t>
      </w:r>
      <w:r w:rsidR="001F5195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onsable, trate datos personales.</w:t>
      </w:r>
    </w:p>
    <w:p w:rsidR="002E0DEB" w:rsidRPr="001F5195" w:rsidRDefault="002E0DEB" w:rsidP="00F433D9">
      <w:pPr>
        <w:pStyle w:val="Prrafodelista"/>
        <w:numPr>
          <w:ilvl w:val="0"/>
          <w:numId w:val="3"/>
        </w:num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1F5195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Tratamiento:</w:t>
      </w:r>
      <w:r w:rsidRPr="001F5195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Cualquier operación o conjunto de operaciones sobre datos personales, tales como la recolección, almacenamiento, uso, circulación o supresión.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Para el entendimiento de los términos que no se encuentran incluidos dentro del listado anterior, usted deberá remitirse a la legislación vigente, en especial a la Ley 1581 de 2012 y al Decreto 1377 de 2013, dando el sentido utilizado en dicha norma a los términos de cuya definición exista duda alguna.</w:t>
      </w:r>
    </w:p>
    <w:p w:rsidR="001F5195" w:rsidRDefault="001F5195" w:rsidP="00F433D9">
      <w:p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</w:p>
    <w:p w:rsidR="002E0DEB" w:rsidRPr="00F433D9" w:rsidRDefault="001F5195" w:rsidP="001F5195">
      <w:pPr>
        <w:spacing w:after="180" w:line="360" w:lineRule="auto"/>
        <w:jc w:val="center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TIPO DE INFORMACIÓN SUJETA A TRATAMIENTO</w:t>
      </w:r>
    </w:p>
    <w:p w:rsidR="001F5195" w:rsidRDefault="001F5195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ODONTOVITTAL</w:t>
      </w:r>
      <w:r w:rsidR="002E0DEB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reconoce que sus Empleados, Proveedores y Clientes tienen derecho a contar con una expectativa razonable de su privacidad, teniendo en todo caso para ello en cuenta sus responsabilidades,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derechos y obligaciones con ODONTOVITAL.</w:t>
      </w:r>
    </w:p>
    <w:p w:rsidR="002E0DEB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En virtud de la relación que se establezca entre usted y </w:t>
      </w:r>
      <w:r w:rsidR="001F5195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, ésta recolecta, almacena, usa y transfiere datos personales, a compañías localizadas dentro y fuera de Colombia. Dichos datos personales e información incluyen entre otros:</w:t>
      </w:r>
    </w:p>
    <w:p w:rsidR="001F5195" w:rsidRDefault="001F5195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</w:p>
    <w:p w:rsidR="001F5195" w:rsidRPr="00F433D9" w:rsidRDefault="001F5195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</w:p>
    <w:p w:rsidR="002E0DEB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lastRenderedPageBreak/>
        <w:t>De los Clientes</w:t>
      </w:r>
      <w:r w:rsidR="001F5195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 (Usuario)</w:t>
      </w:r>
    </w:p>
    <w:p w:rsidR="001F5195" w:rsidRPr="006352DD" w:rsidRDefault="001F5195" w:rsidP="001F5195">
      <w:pPr>
        <w:jc w:val="both"/>
        <w:rPr>
          <w:rFonts w:ascii="Garamond" w:hAnsi="Garamond"/>
          <w:color w:val="000000"/>
          <w:sz w:val="26"/>
          <w:szCs w:val="26"/>
        </w:rPr>
      </w:pPr>
      <w:smartTag w:uri="urn:schemas-microsoft-com:office:smarttags" w:element="PersonName">
        <w:smartTagPr>
          <w:attr w:name="ProductID" w:val="la Historia Cl￭nica"/>
        </w:smartTagPr>
        <w:r w:rsidRPr="006352DD">
          <w:rPr>
            <w:rFonts w:ascii="Garamond" w:hAnsi="Garamond"/>
            <w:color w:val="000000"/>
            <w:sz w:val="26"/>
            <w:szCs w:val="26"/>
          </w:rPr>
          <w:t>La Historia Clínica</w:t>
        </w:r>
      </w:smartTag>
      <w:r w:rsidRPr="006352DD">
        <w:rPr>
          <w:rFonts w:ascii="Garamond" w:hAnsi="Garamond"/>
          <w:color w:val="000000"/>
          <w:sz w:val="26"/>
          <w:szCs w:val="26"/>
        </w:rPr>
        <w:t xml:space="preserve"> en </w:t>
      </w:r>
      <w:r w:rsidRPr="006352DD">
        <w:rPr>
          <w:rFonts w:ascii="Garamond" w:hAnsi="Garamond"/>
          <w:b/>
          <w:color w:val="000000"/>
          <w:sz w:val="26"/>
          <w:szCs w:val="26"/>
        </w:rPr>
        <w:t>ODONTOVITAL</w:t>
      </w:r>
      <w:r w:rsidRPr="006352DD">
        <w:rPr>
          <w:rFonts w:ascii="Garamond" w:hAnsi="Garamond"/>
          <w:color w:val="000000"/>
          <w:sz w:val="26"/>
          <w:szCs w:val="26"/>
        </w:rPr>
        <w:t>, es un documento</w:t>
      </w:r>
      <w:r>
        <w:rPr>
          <w:rFonts w:ascii="Garamond" w:hAnsi="Garamond"/>
          <w:color w:val="000000"/>
          <w:sz w:val="26"/>
          <w:szCs w:val="26"/>
        </w:rPr>
        <w:t xml:space="preserve"> sistematizado</w:t>
      </w:r>
      <w:r w:rsidRPr="006352DD">
        <w:rPr>
          <w:rFonts w:ascii="Garamond" w:hAnsi="Garamond"/>
          <w:color w:val="000000"/>
          <w:sz w:val="26"/>
          <w:szCs w:val="26"/>
        </w:rPr>
        <w:t xml:space="preserve"> que se inicia con la valoración del </w:t>
      </w:r>
      <w:r>
        <w:rPr>
          <w:rFonts w:ascii="Garamond" w:hAnsi="Garamond"/>
          <w:color w:val="000000"/>
          <w:sz w:val="26"/>
          <w:szCs w:val="26"/>
        </w:rPr>
        <w:t>usuario</w:t>
      </w:r>
      <w:r w:rsidRPr="006352DD">
        <w:rPr>
          <w:rFonts w:ascii="Garamond" w:hAnsi="Garamond"/>
          <w:color w:val="000000"/>
          <w:sz w:val="26"/>
          <w:szCs w:val="26"/>
        </w:rPr>
        <w:t xml:space="preserve"> por primera vez, </w:t>
      </w:r>
      <w:r>
        <w:rPr>
          <w:rFonts w:ascii="Garamond" w:hAnsi="Garamond"/>
          <w:color w:val="000000"/>
          <w:sz w:val="26"/>
          <w:szCs w:val="26"/>
        </w:rPr>
        <w:t xml:space="preserve">se </w:t>
      </w:r>
      <w:r w:rsidRPr="006352DD">
        <w:rPr>
          <w:rFonts w:ascii="Garamond" w:hAnsi="Garamond"/>
          <w:color w:val="000000"/>
          <w:sz w:val="26"/>
          <w:szCs w:val="26"/>
        </w:rPr>
        <w:t>registra</w:t>
      </w:r>
      <w:r>
        <w:rPr>
          <w:rFonts w:ascii="Garamond" w:hAnsi="Garamond"/>
          <w:color w:val="000000"/>
          <w:sz w:val="26"/>
          <w:szCs w:val="26"/>
        </w:rPr>
        <w:t xml:space="preserve"> en el sistema</w:t>
      </w:r>
      <w:r w:rsidRPr="006352DD">
        <w:rPr>
          <w:rFonts w:ascii="Garamond" w:hAnsi="Garamond"/>
          <w:color w:val="000000"/>
          <w:sz w:val="26"/>
          <w:szCs w:val="26"/>
        </w:rPr>
        <w:t xml:space="preserve"> la evolución cronológica de la atención en salud oral del </w:t>
      </w:r>
      <w:r>
        <w:rPr>
          <w:rFonts w:ascii="Garamond" w:hAnsi="Garamond"/>
          <w:color w:val="000000"/>
          <w:sz w:val="26"/>
          <w:szCs w:val="26"/>
        </w:rPr>
        <w:t>usuario</w:t>
      </w:r>
      <w:r w:rsidRPr="006352DD">
        <w:rPr>
          <w:rFonts w:ascii="Garamond" w:hAnsi="Garamond"/>
          <w:color w:val="000000"/>
          <w:sz w:val="26"/>
          <w:szCs w:val="26"/>
        </w:rPr>
        <w:t xml:space="preserve"> y se va construyendo a través del tiempo en la medida que se van documentando los aspectos de la relación odontólogo-</w:t>
      </w:r>
      <w:r>
        <w:rPr>
          <w:rFonts w:ascii="Garamond" w:hAnsi="Garamond"/>
          <w:color w:val="000000"/>
          <w:sz w:val="26"/>
          <w:szCs w:val="26"/>
        </w:rPr>
        <w:t>usuario</w:t>
      </w:r>
      <w:r w:rsidRPr="006352DD">
        <w:rPr>
          <w:rFonts w:ascii="Garamond" w:hAnsi="Garamond"/>
          <w:color w:val="000000"/>
          <w:sz w:val="26"/>
          <w:szCs w:val="26"/>
        </w:rPr>
        <w:t>.</w:t>
      </w:r>
    </w:p>
    <w:p w:rsidR="001F5195" w:rsidRPr="006352DD" w:rsidRDefault="001F5195" w:rsidP="001F5195">
      <w:pPr>
        <w:jc w:val="both"/>
        <w:rPr>
          <w:rFonts w:ascii="Garamond" w:hAnsi="Garamond"/>
          <w:color w:val="000000"/>
          <w:sz w:val="26"/>
          <w:szCs w:val="26"/>
        </w:rPr>
      </w:pPr>
      <w:smartTag w:uri="urn:schemas-microsoft-com:office:smarttags" w:element="PersonName">
        <w:smartTagPr>
          <w:attr w:name="ProductID" w:val="la Historia"/>
        </w:smartTagPr>
        <w:r w:rsidRPr="006352DD">
          <w:rPr>
            <w:rFonts w:ascii="Garamond" w:hAnsi="Garamond"/>
            <w:color w:val="000000"/>
            <w:sz w:val="26"/>
            <w:szCs w:val="26"/>
          </w:rPr>
          <w:t>La Historia</w:t>
        </w:r>
      </w:smartTag>
      <w:r w:rsidRPr="006352DD">
        <w:rPr>
          <w:rFonts w:ascii="Garamond" w:hAnsi="Garamond"/>
          <w:color w:val="000000"/>
          <w:sz w:val="26"/>
          <w:szCs w:val="26"/>
        </w:rPr>
        <w:t xml:space="preserve"> clínica en </w:t>
      </w:r>
      <w:r w:rsidRPr="006352DD">
        <w:rPr>
          <w:rFonts w:ascii="Garamond" w:hAnsi="Garamond"/>
          <w:b/>
          <w:color w:val="000000"/>
          <w:sz w:val="26"/>
          <w:szCs w:val="26"/>
        </w:rPr>
        <w:t>ODONTOVITAL</w:t>
      </w:r>
      <w:r w:rsidRPr="006352DD">
        <w:rPr>
          <w:rFonts w:ascii="Garamond" w:hAnsi="Garamond"/>
          <w:color w:val="000000"/>
          <w:sz w:val="26"/>
          <w:szCs w:val="26"/>
        </w:rPr>
        <w:t xml:space="preserve">, se constituye en el documento clave y consustancial de la atención en salud, en este caso referida a la atención odontológica general y especializada y representa el documento básico y principal del sistema de información de </w:t>
      </w:r>
      <w:r>
        <w:rPr>
          <w:rFonts w:ascii="Garamond" w:hAnsi="Garamond"/>
          <w:color w:val="000000"/>
          <w:sz w:val="26"/>
          <w:szCs w:val="26"/>
        </w:rPr>
        <w:t>la clínica</w:t>
      </w:r>
      <w:r w:rsidRPr="006352DD">
        <w:rPr>
          <w:rFonts w:ascii="Garamond" w:hAnsi="Garamond"/>
          <w:color w:val="000000"/>
          <w:sz w:val="26"/>
          <w:szCs w:val="26"/>
        </w:rPr>
        <w:t xml:space="preserve">. </w:t>
      </w:r>
    </w:p>
    <w:p w:rsidR="001F5195" w:rsidRDefault="001F5195" w:rsidP="001F5195">
      <w:pPr>
        <w:jc w:val="both"/>
        <w:rPr>
          <w:rFonts w:ascii="Garamond" w:hAnsi="Garamond"/>
          <w:b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La Historia Clínica se encuentra sustentada y reglamentada en la normatividad vigente y elaborada de acuerdo con los parámetros generales previstos en la misma, con los contenidos mínimos requeridos y con los demás adicionales que son pertinentes y de utilidad para la atención de salud oral en </w:t>
      </w:r>
      <w:r w:rsidRPr="006352DD">
        <w:rPr>
          <w:rFonts w:ascii="Garamond" w:hAnsi="Garamond"/>
          <w:b/>
          <w:color w:val="000000"/>
          <w:sz w:val="26"/>
          <w:szCs w:val="26"/>
        </w:rPr>
        <w:t>ODONTOVITAL</w:t>
      </w:r>
    </w:p>
    <w:p w:rsidR="001F5195" w:rsidRDefault="001F5195" w:rsidP="001F519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>Son componentes de la historia clínica, la identificación del usuario, los registros específicos y los anexos. Los datos de los componentes de identificación del usuario y de los registros específicos, la historia clínica contiene la siguiente información:</w:t>
      </w:r>
    </w:p>
    <w:p w:rsidR="001F5195" w:rsidRPr="006352DD" w:rsidRDefault="001F5195" w:rsidP="001F519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</w:rPr>
      </w:pPr>
    </w:p>
    <w:p w:rsidR="001F5195" w:rsidRPr="006352DD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Fecha de valoración </w:t>
      </w:r>
    </w:p>
    <w:p w:rsidR="001F5195" w:rsidRPr="006352DD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Datos personales del </w:t>
      </w:r>
      <w:r>
        <w:rPr>
          <w:rFonts w:ascii="Garamond" w:hAnsi="Garamond"/>
          <w:color w:val="000000"/>
          <w:sz w:val="26"/>
          <w:szCs w:val="26"/>
        </w:rPr>
        <w:t>usuario</w:t>
      </w:r>
      <w:r w:rsidRPr="006352DD">
        <w:rPr>
          <w:rFonts w:ascii="Garamond" w:hAnsi="Garamond"/>
          <w:color w:val="000000"/>
          <w:sz w:val="26"/>
          <w:szCs w:val="26"/>
        </w:rPr>
        <w:t>: número y tipo de documento de identidad, fecha de nacimiento, edad, estado civil, dirección, ciudad.</w:t>
      </w:r>
    </w:p>
    <w:p w:rsidR="001F5195" w:rsidRPr="0069725F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Datos del Acompañante o Responsable del </w:t>
      </w:r>
      <w:r>
        <w:rPr>
          <w:rFonts w:ascii="Garamond" w:hAnsi="Garamond"/>
          <w:color w:val="000000"/>
          <w:sz w:val="26"/>
          <w:szCs w:val="26"/>
        </w:rPr>
        <w:t>usuario</w:t>
      </w:r>
      <w:r w:rsidRPr="006352DD">
        <w:rPr>
          <w:rFonts w:ascii="Garamond" w:hAnsi="Garamond"/>
          <w:color w:val="000000"/>
          <w:sz w:val="26"/>
          <w:szCs w:val="26"/>
        </w:rPr>
        <w:t>: nombre, parentesco, teléfono</w:t>
      </w:r>
      <w:r w:rsidRPr="006352DD">
        <w:rPr>
          <w:rFonts w:ascii="Garamond" w:hAnsi="Garamond"/>
          <w:color w:val="FF0000"/>
          <w:sz w:val="26"/>
          <w:szCs w:val="26"/>
        </w:rPr>
        <w:t>.</w:t>
      </w:r>
      <w:r>
        <w:rPr>
          <w:rFonts w:ascii="Garamond" w:hAnsi="Garamond"/>
          <w:color w:val="FF0000"/>
          <w:sz w:val="26"/>
          <w:szCs w:val="26"/>
        </w:rPr>
        <w:t xml:space="preserve"> </w:t>
      </w:r>
      <w:r w:rsidRPr="0069725F">
        <w:rPr>
          <w:rFonts w:ascii="Garamond" w:hAnsi="Garamond"/>
          <w:sz w:val="26"/>
          <w:szCs w:val="26"/>
        </w:rPr>
        <w:t>(si es menor de edad)</w:t>
      </w:r>
    </w:p>
    <w:p w:rsidR="001F5195" w:rsidRPr="009D30E4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9D30E4">
        <w:rPr>
          <w:rFonts w:ascii="Garamond" w:hAnsi="Garamond"/>
          <w:color w:val="000000"/>
          <w:sz w:val="26"/>
          <w:szCs w:val="26"/>
        </w:rPr>
        <w:t xml:space="preserve">Motivo de la consulta </w:t>
      </w:r>
    </w:p>
    <w:p w:rsidR="001F5195" w:rsidRPr="006352DD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Anamnesis</w:t>
      </w:r>
    </w:p>
    <w:p w:rsidR="001F5195" w:rsidRPr="006352DD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Enfermedade</w:t>
      </w:r>
      <w:r w:rsidRPr="006352DD">
        <w:rPr>
          <w:rFonts w:ascii="Garamond" w:hAnsi="Garamond"/>
          <w:color w:val="000000"/>
          <w:sz w:val="26"/>
          <w:szCs w:val="26"/>
        </w:rPr>
        <w:t>s Familiares</w:t>
      </w:r>
    </w:p>
    <w:p w:rsidR="001F5195" w:rsidRPr="006352DD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6352DD">
        <w:rPr>
          <w:rFonts w:ascii="Garamond" w:hAnsi="Garamond"/>
          <w:sz w:val="26"/>
          <w:szCs w:val="26"/>
        </w:rPr>
        <w:t>Examen Físico: Estomatológico, odontograma.</w:t>
      </w:r>
    </w:p>
    <w:p w:rsidR="001F5195" w:rsidRPr="006352DD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6352DD">
        <w:rPr>
          <w:rFonts w:ascii="Garamond" w:hAnsi="Garamond"/>
          <w:sz w:val="26"/>
          <w:szCs w:val="26"/>
        </w:rPr>
        <w:t>Diagnóstico</w:t>
      </w:r>
      <w:r>
        <w:rPr>
          <w:rFonts w:ascii="Garamond" w:hAnsi="Garamond"/>
          <w:sz w:val="26"/>
          <w:szCs w:val="26"/>
        </w:rPr>
        <w:t xml:space="preserve"> según código (</w:t>
      </w:r>
      <w:r w:rsidRPr="0069725F">
        <w:rPr>
          <w:rFonts w:ascii="Garamond" w:hAnsi="Garamond"/>
          <w:sz w:val="26"/>
          <w:szCs w:val="26"/>
        </w:rPr>
        <w:t>CIE)</w:t>
      </w:r>
    </w:p>
    <w:p w:rsidR="001F5195" w:rsidRPr="006352DD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>Plan de tratamiento: Operatoria, endodoncia, periodoncia, ortodoncia, cirugía.</w:t>
      </w:r>
    </w:p>
    <w:p w:rsidR="001F5195" w:rsidRDefault="001F5195" w:rsidP="001F519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143446">
        <w:rPr>
          <w:rFonts w:ascii="Garamond" w:hAnsi="Garamond"/>
          <w:color w:val="000000"/>
          <w:sz w:val="26"/>
          <w:szCs w:val="26"/>
        </w:rPr>
        <w:t>Nombre del profesional</w:t>
      </w:r>
      <w:r>
        <w:rPr>
          <w:rFonts w:ascii="Garamond" w:hAnsi="Garamond"/>
          <w:color w:val="000000"/>
          <w:sz w:val="26"/>
          <w:szCs w:val="26"/>
        </w:rPr>
        <w:t xml:space="preserve"> y de la auxiliar en salud oral</w:t>
      </w:r>
    </w:p>
    <w:p w:rsidR="001F5195" w:rsidRDefault="001F5195" w:rsidP="001F5195">
      <w:pPr>
        <w:jc w:val="both"/>
        <w:rPr>
          <w:rFonts w:ascii="Garamond" w:hAnsi="Garamond"/>
          <w:color w:val="000000"/>
          <w:sz w:val="26"/>
          <w:szCs w:val="26"/>
        </w:rPr>
      </w:pPr>
    </w:p>
    <w:p w:rsidR="001F5195" w:rsidRDefault="001F5195" w:rsidP="001F5195">
      <w:pPr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lastRenderedPageBreak/>
        <w:t xml:space="preserve">Los componentes de </w:t>
      </w:r>
      <w:smartTag w:uri="urn:schemas-microsoft-com:office:smarttags" w:element="PersonName">
        <w:smartTagPr>
          <w:attr w:name="ProductID" w:val="la Historia Cl￭nica"/>
        </w:smartTagPr>
        <w:r w:rsidRPr="006352DD">
          <w:rPr>
            <w:rFonts w:ascii="Garamond" w:hAnsi="Garamond"/>
            <w:color w:val="000000"/>
            <w:sz w:val="26"/>
            <w:szCs w:val="26"/>
          </w:rPr>
          <w:t>la Historia Clínica</w:t>
        </w:r>
      </w:smartTag>
      <w:r w:rsidRPr="006352DD">
        <w:rPr>
          <w:rFonts w:ascii="Garamond" w:hAnsi="Garamond"/>
          <w:color w:val="000000"/>
          <w:sz w:val="26"/>
          <w:szCs w:val="26"/>
        </w:rPr>
        <w:t xml:space="preserve"> como </w:t>
      </w:r>
      <w:r w:rsidRPr="006352DD">
        <w:rPr>
          <w:rFonts w:ascii="Garamond" w:hAnsi="Garamond"/>
          <w:b/>
          <w:color w:val="000000"/>
          <w:sz w:val="26"/>
          <w:szCs w:val="26"/>
          <w:u w:val="single"/>
        </w:rPr>
        <w:t>Expediente</w:t>
      </w:r>
      <w:r w:rsidRPr="006352DD">
        <w:rPr>
          <w:rFonts w:ascii="Garamond" w:hAnsi="Garamond"/>
          <w:color w:val="000000"/>
          <w:sz w:val="26"/>
          <w:szCs w:val="26"/>
        </w:rPr>
        <w:t xml:space="preserve"> son:</w:t>
      </w:r>
    </w:p>
    <w:p w:rsidR="001F5195" w:rsidRPr="006352DD" w:rsidRDefault="001F5195" w:rsidP="001F5195">
      <w:pPr>
        <w:jc w:val="both"/>
        <w:rPr>
          <w:rFonts w:ascii="Garamond" w:hAnsi="Garamond"/>
          <w:color w:val="000000"/>
          <w:sz w:val="26"/>
          <w:szCs w:val="26"/>
        </w:rPr>
      </w:pPr>
    </w:p>
    <w:p w:rsidR="001F5195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Formato H</w:t>
      </w:r>
      <w:r w:rsidRPr="006352DD">
        <w:rPr>
          <w:rFonts w:ascii="Garamond" w:hAnsi="Garamond"/>
          <w:color w:val="000000"/>
          <w:sz w:val="26"/>
          <w:szCs w:val="26"/>
        </w:rPr>
        <w:t xml:space="preserve">istoria </w:t>
      </w:r>
      <w:r>
        <w:rPr>
          <w:rFonts w:ascii="Garamond" w:hAnsi="Garamond"/>
          <w:color w:val="000000"/>
          <w:sz w:val="26"/>
          <w:szCs w:val="26"/>
        </w:rPr>
        <w:t>Clínica M-FHC-001</w:t>
      </w:r>
      <w:r w:rsidRPr="006352DD">
        <w:rPr>
          <w:rFonts w:ascii="Garamond" w:hAnsi="Garamond"/>
          <w:color w:val="000000"/>
          <w:sz w:val="26"/>
          <w:szCs w:val="26"/>
        </w:rPr>
        <w:t xml:space="preserve"> </w:t>
      </w:r>
    </w:p>
    <w:p w:rsidR="001F5195" w:rsidRPr="006352DD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Presupuesto Tratamiento M-FPT-013</w:t>
      </w:r>
    </w:p>
    <w:p w:rsidR="001F5195" w:rsidRPr="006352DD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Formato </w:t>
      </w:r>
      <w:r>
        <w:rPr>
          <w:rFonts w:ascii="Garamond" w:hAnsi="Garamond"/>
          <w:color w:val="000000"/>
          <w:sz w:val="26"/>
          <w:szCs w:val="26"/>
        </w:rPr>
        <w:t>Evolución de T</w:t>
      </w:r>
      <w:r w:rsidRPr="006352DD">
        <w:rPr>
          <w:rFonts w:ascii="Garamond" w:hAnsi="Garamond"/>
          <w:color w:val="000000"/>
          <w:sz w:val="26"/>
          <w:szCs w:val="26"/>
        </w:rPr>
        <w:t xml:space="preserve">ratamiento </w:t>
      </w:r>
      <w:r>
        <w:rPr>
          <w:rFonts w:ascii="Garamond" w:hAnsi="Garamond"/>
          <w:color w:val="000000"/>
          <w:sz w:val="26"/>
          <w:szCs w:val="26"/>
        </w:rPr>
        <w:t>M-FET-003</w:t>
      </w:r>
    </w:p>
    <w:p w:rsidR="001F5195" w:rsidRPr="006352DD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Formato </w:t>
      </w:r>
      <w:r>
        <w:rPr>
          <w:rFonts w:ascii="Garamond" w:hAnsi="Garamond"/>
          <w:color w:val="000000"/>
          <w:sz w:val="26"/>
          <w:szCs w:val="26"/>
        </w:rPr>
        <w:t>Valoración E</w:t>
      </w:r>
      <w:r w:rsidRPr="006352DD">
        <w:rPr>
          <w:rFonts w:ascii="Garamond" w:hAnsi="Garamond"/>
          <w:color w:val="000000"/>
          <w:sz w:val="26"/>
          <w:szCs w:val="26"/>
        </w:rPr>
        <w:t xml:space="preserve">specialistas </w:t>
      </w:r>
      <w:r>
        <w:rPr>
          <w:rFonts w:ascii="Garamond" w:hAnsi="Garamond"/>
          <w:color w:val="000000"/>
          <w:sz w:val="26"/>
          <w:szCs w:val="26"/>
        </w:rPr>
        <w:t>M-FVE-004</w:t>
      </w:r>
    </w:p>
    <w:p w:rsidR="001F5195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Formato Datos C</w:t>
      </w:r>
      <w:r w:rsidRPr="006352DD">
        <w:rPr>
          <w:rFonts w:ascii="Garamond" w:hAnsi="Garamond"/>
          <w:color w:val="000000"/>
          <w:sz w:val="26"/>
          <w:szCs w:val="26"/>
        </w:rPr>
        <w:t xml:space="preserve">línicos </w:t>
      </w:r>
      <w:r>
        <w:rPr>
          <w:rFonts w:ascii="Garamond" w:hAnsi="Garamond"/>
          <w:color w:val="000000"/>
          <w:sz w:val="26"/>
          <w:szCs w:val="26"/>
        </w:rPr>
        <w:t>Ortodoncia M</w:t>
      </w:r>
      <w:r w:rsidRPr="006352DD">
        <w:rPr>
          <w:rFonts w:ascii="Garamond" w:hAnsi="Garamond"/>
          <w:color w:val="000000"/>
          <w:sz w:val="26"/>
          <w:szCs w:val="26"/>
        </w:rPr>
        <w:t>-FDC-002</w:t>
      </w:r>
    </w:p>
    <w:p w:rsidR="001F5195" w:rsidRPr="006352DD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Formato Evolución de Ortodoncia M-FEO-029</w:t>
      </w:r>
    </w:p>
    <w:p w:rsidR="001F5195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Formato Consentimiento Informado </w:t>
      </w:r>
      <w:r>
        <w:rPr>
          <w:rFonts w:ascii="Garamond" w:hAnsi="Garamond"/>
          <w:color w:val="000000"/>
          <w:sz w:val="26"/>
          <w:szCs w:val="26"/>
        </w:rPr>
        <w:t>de Odontología, Endodoncia y Ortodoncia M-FCI-005</w:t>
      </w:r>
    </w:p>
    <w:p w:rsidR="001F5195" w:rsidRPr="005B328F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Formato Consentimiento Informado </w:t>
      </w:r>
      <w:r>
        <w:rPr>
          <w:rFonts w:ascii="Garamond" w:hAnsi="Garamond"/>
          <w:color w:val="000000"/>
          <w:sz w:val="26"/>
          <w:szCs w:val="26"/>
        </w:rPr>
        <w:t xml:space="preserve">de Rehabilitación Oral, Periodoncia y Cirugía Oral        M-FCI-028 </w:t>
      </w:r>
    </w:p>
    <w:p w:rsidR="001F5195" w:rsidRPr="006352DD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Recomendaciones.  </w:t>
      </w:r>
    </w:p>
    <w:p w:rsidR="001F5195" w:rsidRPr="006352DD" w:rsidRDefault="001F5195" w:rsidP="001F5195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6352DD">
        <w:rPr>
          <w:rFonts w:ascii="Garamond" w:hAnsi="Garamond"/>
          <w:color w:val="000000"/>
          <w:sz w:val="26"/>
          <w:szCs w:val="26"/>
        </w:rPr>
        <w:t xml:space="preserve">Todos los demás documentos y registros clínicos (placas Radiográficas, modelos en yeso, fotos, exámenes paraclínicos, etc.) que resulten de la valoración clínica odontológica inicial y/o del seguimiento del </w:t>
      </w:r>
      <w:r>
        <w:rPr>
          <w:rFonts w:ascii="Garamond" w:hAnsi="Garamond"/>
          <w:color w:val="000000"/>
          <w:sz w:val="26"/>
          <w:szCs w:val="26"/>
        </w:rPr>
        <w:t>usuario</w:t>
      </w:r>
      <w:r w:rsidRPr="006352DD">
        <w:rPr>
          <w:rFonts w:ascii="Garamond" w:hAnsi="Garamond"/>
          <w:color w:val="000000"/>
          <w:sz w:val="26"/>
          <w:szCs w:val="26"/>
        </w:rPr>
        <w:t xml:space="preserve"> a través del tiempo.</w:t>
      </w:r>
    </w:p>
    <w:p w:rsidR="001F5195" w:rsidRPr="006352DD" w:rsidRDefault="001F5195" w:rsidP="001F5195">
      <w:pPr>
        <w:jc w:val="both"/>
        <w:rPr>
          <w:rFonts w:ascii="Garamond" w:hAnsi="Garamond"/>
          <w:color w:val="000000"/>
          <w:sz w:val="26"/>
          <w:szCs w:val="26"/>
        </w:rPr>
      </w:pPr>
    </w:p>
    <w:p w:rsidR="002E0DEB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De los Proveedores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.</w:t>
      </w:r>
    </w:p>
    <w:p w:rsidR="00BC07FA" w:rsidRDefault="00BC07FA" w:rsidP="00BC07FA">
      <w:pPr>
        <w:jc w:val="both"/>
        <w:rPr>
          <w:rFonts w:ascii="Garamond" w:hAnsi="Garamond" w:cs="Tahoma"/>
          <w:sz w:val="26"/>
          <w:szCs w:val="26"/>
        </w:rPr>
      </w:pPr>
      <w:r w:rsidRPr="00C23136">
        <w:rPr>
          <w:rFonts w:ascii="Garamond" w:hAnsi="Garamond" w:cs="Tahoma"/>
          <w:sz w:val="26"/>
          <w:szCs w:val="26"/>
        </w:rPr>
        <w:t>Cada proveedor deberá contar</w:t>
      </w:r>
      <w:r>
        <w:rPr>
          <w:rFonts w:ascii="Garamond" w:hAnsi="Garamond" w:cs="Tahoma"/>
          <w:sz w:val="26"/>
          <w:szCs w:val="26"/>
        </w:rPr>
        <w:t xml:space="preserve"> con el formato Registro de P</w:t>
      </w:r>
      <w:r w:rsidRPr="00C23136">
        <w:rPr>
          <w:rFonts w:ascii="Garamond" w:hAnsi="Garamond" w:cs="Tahoma"/>
          <w:sz w:val="26"/>
          <w:szCs w:val="26"/>
        </w:rPr>
        <w:t>roveedores</w:t>
      </w:r>
      <w:r>
        <w:rPr>
          <w:rFonts w:ascii="Garamond" w:hAnsi="Garamond" w:cs="Tahoma"/>
          <w:sz w:val="26"/>
          <w:szCs w:val="26"/>
        </w:rPr>
        <w:t xml:space="preserve"> G-FRP-001</w:t>
      </w:r>
      <w:r w:rsidRPr="00C23136">
        <w:rPr>
          <w:rFonts w:ascii="Garamond" w:hAnsi="Garamond" w:cs="Tahoma"/>
          <w:sz w:val="26"/>
          <w:szCs w:val="26"/>
        </w:rPr>
        <w:t>, en el cual se incluirán los datos más relevantes, anualmente  se llevara a cabo una actualización de los datos y evaluación precios (solicitando cotizaciones a otros proveedores del mismo producto o servicio).</w:t>
      </w:r>
    </w:p>
    <w:p w:rsidR="00BC07FA" w:rsidRPr="00F433D9" w:rsidRDefault="001A0500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El</w:t>
      </w:r>
      <w:r w:rsidR="008A0507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Formato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Registro de Proveedores</w:t>
      </w:r>
      <w:r w:rsidR="00DA576F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  <w:r w:rsidR="00DA576F">
        <w:rPr>
          <w:rFonts w:ascii="Garamond" w:hAnsi="Garamond" w:cs="Tahoma"/>
          <w:sz w:val="26"/>
          <w:szCs w:val="26"/>
        </w:rPr>
        <w:t>G-FRP-001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contiene la Siguiente Información. </w:t>
      </w:r>
    </w:p>
    <w:p w:rsidR="001A0500" w:rsidRPr="001A0500" w:rsidRDefault="001A0500" w:rsidP="001A0500">
      <w:pPr>
        <w:pStyle w:val="Prrafodelista"/>
        <w:numPr>
          <w:ilvl w:val="0"/>
          <w:numId w:val="6"/>
        </w:num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Identificación: 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Nombre o </w:t>
      </w:r>
      <w:r w:rsidR="00A9156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Razón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Social, Nit, CC o Cedula </w:t>
      </w:r>
      <w:r w:rsidR="00A9156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Extranjería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, Numero de Documento.</w:t>
      </w:r>
    </w:p>
    <w:p w:rsidR="001A0500" w:rsidRPr="001A0500" w:rsidRDefault="001A0500" w:rsidP="001A0500">
      <w:pPr>
        <w:pStyle w:val="Prrafodelista"/>
        <w:numPr>
          <w:ilvl w:val="0"/>
          <w:numId w:val="6"/>
        </w:num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Ubicación: </w:t>
      </w:r>
      <w:r w:rsidR="00A9156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Dirección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, Ciudad, </w:t>
      </w:r>
      <w:r w:rsidR="00A9156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Teléfono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, Fax y E-mail.</w:t>
      </w:r>
    </w:p>
    <w:p w:rsidR="001A0500" w:rsidRPr="00A9156C" w:rsidRDefault="001A0500" w:rsidP="001A0500">
      <w:pPr>
        <w:pStyle w:val="Prrafodelista"/>
        <w:numPr>
          <w:ilvl w:val="0"/>
          <w:numId w:val="6"/>
        </w:num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Representante Legal o Persona de Contacto: </w:t>
      </w:r>
      <w:r w:rsidR="00A9156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Nombre completo Representante Lega, Nombre completo persona de contacto, Cargo, Teléfono, Fax.</w:t>
      </w:r>
    </w:p>
    <w:p w:rsidR="00A9156C" w:rsidRPr="00A9156C" w:rsidRDefault="00A9156C" w:rsidP="001A0500">
      <w:pPr>
        <w:pStyle w:val="Prrafodelista"/>
        <w:numPr>
          <w:ilvl w:val="0"/>
          <w:numId w:val="6"/>
        </w:num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lastRenderedPageBreak/>
        <w:t xml:space="preserve">Condiciones Comerciales: 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Vencimientos de Facturas, Garantía, Tiempo de Entrega y Descuentos</w:t>
      </w:r>
    </w:p>
    <w:p w:rsidR="00A9156C" w:rsidRPr="00A9156C" w:rsidRDefault="00A9156C" w:rsidP="001A0500">
      <w:pPr>
        <w:pStyle w:val="Prrafodelista"/>
        <w:numPr>
          <w:ilvl w:val="0"/>
          <w:numId w:val="6"/>
        </w:num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Información Tributaria: </w:t>
      </w:r>
      <w:r w:rsidRPr="00A9156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Gran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Contribuyente, Régimen </w:t>
      </w:r>
      <w:r w:rsidR="001649B0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Común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, </w:t>
      </w:r>
      <w:r w:rsidR="001649B0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Régimen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Simplificado, Autoretenedor, Sujeto a Retención. </w:t>
      </w:r>
    </w:p>
    <w:p w:rsidR="001649B0" w:rsidRPr="001649B0" w:rsidRDefault="00A9156C" w:rsidP="001A0500">
      <w:pPr>
        <w:pStyle w:val="Prrafodelista"/>
        <w:numPr>
          <w:ilvl w:val="0"/>
          <w:numId w:val="6"/>
        </w:num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información Bancaria: </w:t>
      </w:r>
      <w:r w:rsidR="001649B0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Banco, Numero de Cuenta, Tipo de Cuenta, Ciudad</w:t>
      </w:r>
    </w:p>
    <w:p w:rsidR="00A9156C" w:rsidRPr="001A0500" w:rsidRDefault="001649B0" w:rsidP="001A0500">
      <w:pPr>
        <w:pStyle w:val="Prrafodelista"/>
        <w:numPr>
          <w:ilvl w:val="0"/>
          <w:numId w:val="6"/>
        </w:num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Bienes o Servicios que ofrece. </w:t>
      </w:r>
      <w:r w:rsidR="00A9156C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 </w:t>
      </w:r>
    </w:p>
    <w:p w:rsidR="002E0DEB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De los Empleados</w:t>
      </w:r>
      <w:r w:rsidR="001649B0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 y Contratistas (Especialistas)</w:t>
      </w:r>
    </w:p>
    <w:p w:rsidR="00DA576F" w:rsidRDefault="00DA576F" w:rsidP="00F433D9">
      <w:p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 w:rsidRPr="00CF75BB">
        <w:rPr>
          <w:rFonts w:ascii="Garamond" w:hAnsi="Garamond"/>
          <w:sz w:val="26"/>
          <w:szCs w:val="26"/>
          <w:lang w:val="es-MX"/>
        </w:rPr>
        <w:t xml:space="preserve">Es de resaltar que el personal clínico (Especialistas) no cuenta con vínculo laboral alguno con ODONTOVITAL pues son contratados por la modalidad de </w:t>
      </w:r>
      <w:r>
        <w:rPr>
          <w:rFonts w:ascii="Garamond" w:hAnsi="Garamond"/>
          <w:sz w:val="26"/>
          <w:szCs w:val="26"/>
          <w:lang w:val="es-MX"/>
        </w:rPr>
        <w:t xml:space="preserve">prestación </w:t>
      </w:r>
      <w:r w:rsidRPr="00CF75BB">
        <w:rPr>
          <w:rFonts w:ascii="Garamond" w:hAnsi="Garamond"/>
          <w:sz w:val="26"/>
          <w:szCs w:val="26"/>
          <w:lang w:val="es-MX"/>
        </w:rPr>
        <w:t xml:space="preserve"> de servicios, pero deben cumplir con los requisitos establecidos para cualquier empleado del área administrativa en cuanto a documentación a excepción de aquellos en los cuales se</w:t>
      </w:r>
      <w:r>
        <w:rPr>
          <w:rFonts w:ascii="Garamond" w:hAnsi="Garamond"/>
          <w:sz w:val="26"/>
          <w:szCs w:val="26"/>
          <w:lang w:val="es-MX"/>
        </w:rPr>
        <w:t xml:space="preserve"> </w:t>
      </w:r>
      <w:r w:rsidRPr="00CF75BB">
        <w:rPr>
          <w:rFonts w:ascii="Garamond" w:hAnsi="Garamond"/>
          <w:sz w:val="26"/>
          <w:szCs w:val="26"/>
          <w:lang w:val="es-MX"/>
        </w:rPr>
        <w:t>especifique la excepción del requisito</w:t>
      </w:r>
      <w:r>
        <w:rPr>
          <w:rFonts w:ascii="Garamond" w:hAnsi="Garamond"/>
          <w:sz w:val="26"/>
          <w:szCs w:val="26"/>
          <w:lang w:val="es-MX"/>
        </w:rPr>
        <w:t>.</w:t>
      </w:r>
    </w:p>
    <w:p w:rsidR="00DA576F" w:rsidRDefault="00DA576F" w:rsidP="00F433D9">
      <w:p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Todo empleado laboral o contratista al momento de ingresar a ODONTOVITAL se le diligencia el </w:t>
      </w:r>
      <w:r w:rsidR="008A0507">
        <w:rPr>
          <w:rFonts w:ascii="Garamond" w:hAnsi="Garamond"/>
          <w:sz w:val="26"/>
          <w:szCs w:val="26"/>
          <w:lang w:val="es-MX"/>
        </w:rPr>
        <w:t>Formato Hoja de vida A-FHV-002.</w:t>
      </w:r>
    </w:p>
    <w:p w:rsidR="008A0507" w:rsidRDefault="008A0507" w:rsidP="008A0507">
      <w:p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El Formato Hoja de vida A-FHV-002 contiene la siguiente información:</w:t>
      </w:r>
    </w:p>
    <w:p w:rsidR="003A4CD0" w:rsidRDefault="003A4CD0" w:rsidP="003A4CD0">
      <w:pPr>
        <w:pStyle w:val="Prrafodelista"/>
        <w:numPr>
          <w:ilvl w:val="0"/>
          <w:numId w:val="7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b/>
          <w:sz w:val="26"/>
          <w:szCs w:val="26"/>
          <w:lang w:val="es-MX"/>
        </w:rPr>
        <w:t xml:space="preserve">Datos Personales: </w:t>
      </w:r>
      <w:r>
        <w:rPr>
          <w:rFonts w:ascii="Garamond" w:hAnsi="Garamond"/>
          <w:sz w:val="26"/>
          <w:szCs w:val="26"/>
          <w:lang w:val="es-MX"/>
        </w:rPr>
        <w:t xml:space="preserve"> Nombre y Apellidos, Sexo, Cedula No. Lugar de Nacimiento, Fecha de Nacimiento, País, Dirección Domicilio, Dirección Correspondencia, Municipio, Teléfono, Celular, Teléfono Consultorio, Fondo de Pensiones, EPS, Arp.</w:t>
      </w:r>
    </w:p>
    <w:p w:rsidR="003A4CD0" w:rsidRDefault="009000A1" w:rsidP="003A4CD0">
      <w:pPr>
        <w:pStyle w:val="Prrafodelista"/>
        <w:numPr>
          <w:ilvl w:val="0"/>
          <w:numId w:val="7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 w:rsidRPr="009000A1">
        <w:rPr>
          <w:rFonts w:ascii="Garamond" w:hAnsi="Garamond"/>
          <w:b/>
          <w:sz w:val="26"/>
          <w:szCs w:val="26"/>
          <w:lang w:val="es-MX"/>
        </w:rPr>
        <w:t>Datos Familiares</w:t>
      </w:r>
      <w:r>
        <w:rPr>
          <w:rFonts w:ascii="Garamond" w:hAnsi="Garamond"/>
          <w:sz w:val="26"/>
          <w:szCs w:val="26"/>
          <w:lang w:val="es-MX"/>
        </w:rPr>
        <w:t>: Estado Civil, Hijos</w:t>
      </w:r>
    </w:p>
    <w:p w:rsidR="009000A1" w:rsidRDefault="009000A1" w:rsidP="003A4CD0">
      <w:pPr>
        <w:pStyle w:val="Prrafodelista"/>
        <w:numPr>
          <w:ilvl w:val="0"/>
          <w:numId w:val="7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b/>
          <w:sz w:val="26"/>
          <w:szCs w:val="26"/>
          <w:lang w:val="es-MX"/>
        </w:rPr>
        <w:t>Educación</w:t>
      </w:r>
      <w:r w:rsidRPr="009000A1">
        <w:rPr>
          <w:rFonts w:ascii="Garamond" w:hAnsi="Garamond"/>
          <w:sz w:val="26"/>
          <w:szCs w:val="26"/>
          <w:lang w:val="es-MX"/>
        </w:rPr>
        <w:t>:</w:t>
      </w:r>
      <w:r>
        <w:rPr>
          <w:rFonts w:ascii="Garamond" w:hAnsi="Garamond"/>
          <w:sz w:val="26"/>
          <w:szCs w:val="26"/>
          <w:lang w:val="es-MX"/>
        </w:rPr>
        <w:t xml:space="preserve"> Estudios, Titulo Obtenido, Institución, Fecha de Terminación, Ciudad.</w:t>
      </w:r>
    </w:p>
    <w:p w:rsidR="009000A1" w:rsidRDefault="009000A1" w:rsidP="003A4CD0">
      <w:pPr>
        <w:pStyle w:val="Prrafodelista"/>
        <w:numPr>
          <w:ilvl w:val="0"/>
          <w:numId w:val="7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 w:rsidRPr="009000A1">
        <w:rPr>
          <w:rFonts w:ascii="Garamond" w:hAnsi="Garamond"/>
          <w:b/>
          <w:sz w:val="26"/>
          <w:szCs w:val="26"/>
          <w:lang w:val="es-MX"/>
        </w:rPr>
        <w:t>Otros Estudios:</w:t>
      </w:r>
      <w:r>
        <w:rPr>
          <w:rFonts w:ascii="Garamond" w:hAnsi="Garamond"/>
          <w:sz w:val="26"/>
          <w:szCs w:val="26"/>
          <w:lang w:val="es-MX"/>
        </w:rPr>
        <w:t xml:space="preserve"> Nombre de Curso, Establecimiento, Horas, Fecha</w:t>
      </w:r>
    </w:p>
    <w:p w:rsidR="009000A1" w:rsidRPr="009000A1" w:rsidRDefault="009000A1" w:rsidP="003A4CD0">
      <w:pPr>
        <w:pStyle w:val="Prrafodelista"/>
        <w:numPr>
          <w:ilvl w:val="0"/>
          <w:numId w:val="7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b/>
          <w:sz w:val="26"/>
          <w:szCs w:val="26"/>
          <w:lang w:val="es-MX"/>
        </w:rPr>
        <w:t>Referencias:</w:t>
      </w:r>
      <w:r>
        <w:rPr>
          <w:rFonts w:ascii="Garamond" w:hAnsi="Garamond"/>
          <w:sz w:val="26"/>
          <w:szCs w:val="26"/>
          <w:lang w:val="es-MX"/>
        </w:rPr>
        <w:t xml:space="preserve"> </w:t>
      </w:r>
      <w:r w:rsidRPr="009000A1">
        <w:rPr>
          <w:rFonts w:ascii="Garamond" w:hAnsi="Garamond"/>
          <w:sz w:val="26"/>
          <w:szCs w:val="26"/>
          <w:lang w:val="es-MX"/>
        </w:rPr>
        <w:t>Personal, Familiares, Laborales</w:t>
      </w:r>
      <w:r>
        <w:rPr>
          <w:rFonts w:ascii="Garamond" w:hAnsi="Garamond"/>
          <w:b/>
          <w:sz w:val="26"/>
          <w:szCs w:val="26"/>
          <w:lang w:val="es-MX"/>
        </w:rPr>
        <w:t>.</w:t>
      </w:r>
    </w:p>
    <w:p w:rsidR="009000A1" w:rsidRDefault="009000A1" w:rsidP="009000A1">
      <w:pPr>
        <w:pStyle w:val="Prrafodelista"/>
        <w:numPr>
          <w:ilvl w:val="0"/>
          <w:numId w:val="7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b/>
          <w:sz w:val="26"/>
          <w:szCs w:val="26"/>
          <w:lang w:val="es-MX"/>
        </w:rPr>
        <w:lastRenderedPageBreak/>
        <w:t xml:space="preserve">Verificación Referencias Laborales: </w:t>
      </w:r>
      <w:r>
        <w:rPr>
          <w:rFonts w:ascii="Garamond" w:hAnsi="Garamond"/>
          <w:sz w:val="26"/>
          <w:szCs w:val="26"/>
          <w:lang w:val="es-MX"/>
        </w:rPr>
        <w:t>Nombre Empresa, Nombre Contacto, Cargo, Fecha de contacto, Tiempo laborado en la empresa, Fecha de Retiro, Motivo de retiro, Observaciones.</w:t>
      </w:r>
    </w:p>
    <w:p w:rsidR="004838B6" w:rsidRPr="001649B0" w:rsidRDefault="004838B6" w:rsidP="004838B6">
      <w:pPr>
        <w:pStyle w:val="Prrafodelista"/>
        <w:numPr>
          <w:ilvl w:val="0"/>
          <w:numId w:val="7"/>
        </w:num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Información Bancaria: 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Banco, Numero de Cuenta, Tipo de Cuenta, Ciudad</w:t>
      </w:r>
    </w:p>
    <w:p w:rsidR="009000A1" w:rsidRDefault="009000A1" w:rsidP="009000A1">
      <w:p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Lista de documentos requeridos para anexar a la hoja de Vida.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Copia de la Cedula de Ciudadanía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Copia de los Diplomas y actas 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Copia Certificados de estudios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Copia Tarjeta profesional o Resolución Departamental para laboral 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Copia Carnet de Vacunas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Copia Carnet de Radioprotección </w:t>
      </w:r>
      <w:r w:rsidRPr="00CF75BB">
        <w:rPr>
          <w:rFonts w:ascii="Garamond" w:hAnsi="Garamond"/>
          <w:sz w:val="26"/>
          <w:szCs w:val="26"/>
          <w:lang w:val="es-MX"/>
        </w:rPr>
        <w:t>(</w:t>
      </w:r>
      <w:r>
        <w:rPr>
          <w:rFonts w:ascii="Garamond" w:hAnsi="Garamond"/>
          <w:sz w:val="26"/>
          <w:szCs w:val="26"/>
          <w:lang w:val="es-MX"/>
        </w:rPr>
        <w:t>Endodoncista y Auxiliar en Salud Oral)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Copia Certificado Curso de Radioprotección </w:t>
      </w:r>
      <w:r w:rsidRPr="00CF75BB">
        <w:rPr>
          <w:rFonts w:ascii="Garamond" w:hAnsi="Garamond"/>
          <w:sz w:val="26"/>
          <w:szCs w:val="26"/>
          <w:lang w:val="es-MX"/>
        </w:rPr>
        <w:t>(</w:t>
      </w:r>
      <w:r>
        <w:rPr>
          <w:rFonts w:ascii="Garamond" w:hAnsi="Garamond"/>
          <w:sz w:val="26"/>
          <w:szCs w:val="26"/>
          <w:lang w:val="es-MX"/>
        </w:rPr>
        <w:t>Endodoncista y Auxiliar en Salud Oral)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Copia Póliza Responsabilidad Civil 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Antecedentes Disciplinarios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Antecedentes Fiscales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Certificados Laborales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Contrato Laboral 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Contrato de Confidencialidad</w:t>
      </w:r>
    </w:p>
    <w:p w:rsidR="009000A1" w:rsidRDefault="009000A1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Copia Rut. </w:t>
      </w:r>
    </w:p>
    <w:p w:rsidR="008D2F4F" w:rsidRDefault="008D2F4F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 xml:space="preserve">Accidente </w:t>
      </w:r>
      <w:r w:rsidR="006E4682">
        <w:rPr>
          <w:rFonts w:ascii="Garamond" w:hAnsi="Garamond"/>
          <w:sz w:val="26"/>
          <w:szCs w:val="26"/>
          <w:lang w:val="es-MX"/>
        </w:rPr>
        <w:t>Laboral</w:t>
      </w:r>
    </w:p>
    <w:p w:rsidR="008D2F4F" w:rsidRDefault="008D2F4F" w:rsidP="009000A1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Incapacidades</w:t>
      </w:r>
    </w:p>
    <w:p w:rsidR="006E4682" w:rsidRDefault="006E4682" w:rsidP="00F433D9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hAnsi="Garamond"/>
          <w:sz w:val="26"/>
          <w:szCs w:val="26"/>
          <w:lang w:val="es-MX"/>
        </w:rPr>
        <w:t>Prestamos realizados por Odontovital</w:t>
      </w:r>
    </w:p>
    <w:p w:rsidR="002E0DEB" w:rsidRPr="006E4682" w:rsidRDefault="006E4682" w:rsidP="00F433D9">
      <w:pPr>
        <w:pStyle w:val="Prrafodelista"/>
        <w:numPr>
          <w:ilvl w:val="0"/>
          <w:numId w:val="8"/>
        </w:numPr>
        <w:spacing w:after="180" w:line="360" w:lineRule="auto"/>
        <w:jc w:val="both"/>
        <w:rPr>
          <w:rFonts w:ascii="Garamond" w:hAnsi="Garamond"/>
          <w:sz w:val="26"/>
          <w:szCs w:val="26"/>
          <w:lang w:val="es-MX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Capacitaciones recibidas.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lastRenderedPageBreak/>
        <w:t xml:space="preserve">Si dentro de la información recolectada se </w:t>
      </w:r>
      <w:r w:rsidR="004A5B9D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encuentran datos sensibles, </w:t>
      </w:r>
      <w:r w:rsidR="006E4682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le informará de la calidad de dicho datos sensibles y la finalidad del tratamiento, y sólo serán tratados con su consentimiento previo, expreso e informado. Tenga en cuenta que por tratarse de datos sensibles usted no está obligado a autorizar su tratamiento.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4. Uso y finalidad del Tratamiento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Los datos personales son utilizados para:</w:t>
      </w:r>
    </w:p>
    <w:p w:rsidR="00110BD3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a. </w:t>
      </w:r>
      <w:r w:rsidR="00110BD3">
        <w:rPr>
          <w:rFonts w:ascii="Garamond" w:hAnsi="Garamond"/>
          <w:color w:val="000000"/>
          <w:sz w:val="26"/>
          <w:szCs w:val="26"/>
        </w:rPr>
        <w:t>I</w:t>
      </w:r>
      <w:r w:rsidR="006E4682" w:rsidRPr="006352DD">
        <w:rPr>
          <w:rFonts w:ascii="Garamond" w:hAnsi="Garamond"/>
          <w:color w:val="000000"/>
          <w:sz w:val="26"/>
          <w:szCs w:val="26"/>
        </w:rPr>
        <w:t xml:space="preserve">nformación sobre las condiciones en la salud </w:t>
      </w:r>
      <w:r w:rsidR="00110BD3">
        <w:rPr>
          <w:rFonts w:ascii="Garamond" w:hAnsi="Garamond"/>
          <w:color w:val="000000"/>
          <w:sz w:val="26"/>
          <w:szCs w:val="26"/>
        </w:rPr>
        <w:t xml:space="preserve">Oral </w:t>
      </w:r>
      <w:r w:rsidR="006E4682" w:rsidRPr="006352DD">
        <w:rPr>
          <w:rFonts w:ascii="Garamond" w:hAnsi="Garamond"/>
          <w:color w:val="000000"/>
          <w:sz w:val="26"/>
          <w:szCs w:val="26"/>
        </w:rPr>
        <w:t xml:space="preserve">del </w:t>
      </w:r>
      <w:r w:rsidR="006E4682">
        <w:rPr>
          <w:rFonts w:ascii="Garamond" w:hAnsi="Garamond"/>
          <w:color w:val="000000"/>
          <w:sz w:val="26"/>
          <w:szCs w:val="26"/>
        </w:rPr>
        <w:t>usuario</w:t>
      </w:r>
      <w:r w:rsidR="00110BD3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para personal clínico y administrativo de ODONTOVITAL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b. Pago de obligaciones contractuales.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c. Envío de información a entidades gubernamentales o judiciales por solicitud expresa de la misma.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d. Soporte en procesos de auditoria externa/interna.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e. Envío/Recepción de mensajes con fines comerciales, publicitarios y/o de atención al cliente.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f. Registro de </w:t>
      </w:r>
      <w:r w:rsidR="004A5B9D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la información de los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clientes, empleados y proveedores en la base de datos de </w:t>
      </w:r>
      <w:r w:rsidR="00110BD3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.</w:t>
      </w:r>
    </w:p>
    <w:p w:rsidR="002E0DEB" w:rsidRPr="00F433D9" w:rsidRDefault="004A5B9D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g. Contacto con </w:t>
      </w:r>
      <w:r w:rsidR="002E0DEB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clientes, empleados o proveedores para el envío de información relacionado con la relación contractual, comercial y obligacional que tenga lugar.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h. Recolección de datos para el cumplimiento de los deberes que como Responsable de la información y datos personales, le corresponde a </w:t>
      </w:r>
      <w:r w:rsidR="00110BD3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i. Con propósitos de seguridad o prevención de fraude.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j. Para proporcionarle un efectivo servicio al cliente.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lastRenderedPageBreak/>
        <w:t xml:space="preserve">k. Cualquier otra finalidad que resulte en el desarrollo del contrato o la relación entre usted y </w:t>
      </w:r>
      <w:r w:rsidR="00110BD3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ODONTOVITAL. 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Si usted nos proporciona Datos Personales, ésta información será utilizada sólo para los propósitos aquí señalados, y no procederemos a vender, licenciar, transmitir o divulgar la misma fuera de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salvo que (i) usted nos autorice expresamente a hacerlo, (ii) sea necesario para permitir a nuestros contratistas prestar los servicios que les hemos encomendado, (iii) con el fin de proporcionarle nuestros servicios, </w:t>
      </w:r>
      <w:r w:rsidR="004A5B9D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(iv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) según sea requerido o permitido por la ley.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A fin de poner en práctica los propósitos descritos anteriormente, sus datos personales podrán ser divulgados con los fines dispuestos anteriormente al personal de recursos humanos,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Administrativos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,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Personal Cínico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y oficinas según corresponda.</w:t>
      </w:r>
    </w:p>
    <w:p w:rsidR="002E0DEB" w:rsidRPr="00F433D9" w:rsidRDefault="00337938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="002E0DEB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podrá subcontratar a terceros para el procesamiento de determinadas funciones o información. Cuando efectivamente subcontratamos con terceros el procesamiento de su información personal o proporcionamos su información personal a terceros prestadores de servicios, advertimos a dichos terceros sobre la necesidad de proteger dicha información personal con medidas de seguridad apropiadas, les prohibimos el uso de su información personal para fines propios y les impedimos que divulguen su información personal a otros.</w:t>
      </w:r>
    </w:p>
    <w:p w:rsidR="001A77DB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Adicionalmente, le informamos que una vez cese la necesidad de tratamiento de sus datos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en 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, los mismos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serán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archivados en términos seguros a efectos de que solamente sean divulgados cuando a ello hubiere lugar de acuerdo con la ley. Dichos datos no serán eliminados a pesar de la solicitud del titular, cuando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los mismos sean necesarios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para el cumplimiento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de Ley.</w:t>
      </w:r>
    </w:p>
    <w:p w:rsidR="001A77DB" w:rsidRDefault="001A77D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</w:p>
    <w:p w:rsidR="002E0DEB" w:rsidRPr="00F433D9" w:rsidRDefault="001A77DB" w:rsidP="001A77DB">
      <w:pPr>
        <w:spacing w:after="180" w:line="360" w:lineRule="auto"/>
        <w:jc w:val="center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lastRenderedPageBreak/>
        <w:t>DERECHOS DEL TITULAR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De conformidad con el artículo 8 de la Ley 1581 de 2012, los derechos que como titular le asisten en relación con sus datos personales son: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a. Conocer, actualizar y rectificar su</w:t>
      </w:r>
      <w:r w:rsidR="004A5B9D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s datos personales frente a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ODONTOVITAL, </w:t>
      </w:r>
      <w:r w:rsidR="00EB67DC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c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omo los Responsables del Tratamiento o Encargados del Tratamiento. Este derecho se podrá ejercer, entre otros frente a datos parciales, inexactos, incompletos, fraccionados, que induzcan a error, o aquellos cuyo Tratamiento esté expresamente prohibido o no haya sido autorizado;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b. Solicitar prueba de la autorización otorgada a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como Responsables del Tratamiento salvo cuando expresamente se exceptúe como requisito para el Tratamiento;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c. Ser informado por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, como Responsables del Tratamiento o por el Encargado del Tratamiento, previa solicitud, respecto del uso que le ha dado a sus datos personales;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d. Presentar ante la Superintendencia de Industria y Comercio quejas por infracciones a lo dispuesto en la presente ley y las demás normas que la modifiquen, adicionen o complementen;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e. Revocar la autorización y/o solicitar la supresión del dato cuando en el Tratamiento no se respeten los principios, derechos y garantías constitucionales y legales;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f. Acceder en forma gratuita a sus datos personales que hayan sido objeto de Tratamiento.</w:t>
      </w:r>
    </w:p>
    <w:p w:rsidR="002E0DEB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Dentro de esta política encontrará el procedimiento a través del cual </w:t>
      </w:r>
      <w:r w:rsidR="001A77DB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garantiza el ejercicio de todos sus derechos.</w:t>
      </w:r>
    </w:p>
    <w:p w:rsidR="001A77DB" w:rsidRPr="00F433D9" w:rsidRDefault="001A77D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lastRenderedPageBreak/>
        <w:t>Procedimiento para el ejercicio de sus derechos como titular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Si tiene preguntas acerca de esta Política, o cualquier inquietud o reclamo, o en caso de ejercicio de queja, rectificación, actualización, consulta, o solicitud de acceso o de sustracción de datos, o con respecto a la administración de la Política, comuníquese con nosotros a través de cualquiera de los siguientes medios:</w:t>
      </w:r>
    </w:p>
    <w:p w:rsidR="002E0DEB" w:rsidRPr="00D61E25" w:rsidRDefault="00211F8E" w:rsidP="00F433D9">
      <w:pPr>
        <w:spacing w:after="180" w:line="360" w:lineRule="auto"/>
        <w:jc w:val="both"/>
        <w:rPr>
          <w:rFonts w:ascii="Garamond" w:eastAsia="Times New Roman" w:hAnsi="Garamond" w:cs="Arial"/>
          <w:sz w:val="26"/>
          <w:szCs w:val="26"/>
          <w:lang w:eastAsia="es-CO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Telefónicamente al: 744 32 30 o 310 400 70 55  Armenia, 320 752 17 76 Pereira, </w:t>
      </w:r>
      <w:r w:rsidR="002E0DEB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Contacto: </w:t>
      </w:r>
      <w:hyperlink r:id="rId7" w:history="1">
        <w:r w:rsidR="00D61E25" w:rsidRPr="00BC401B">
          <w:rPr>
            <w:rStyle w:val="Hipervnculo"/>
            <w:rFonts w:ascii="Garamond" w:eastAsia="Times New Roman" w:hAnsi="Garamond" w:cs="Arial"/>
            <w:sz w:val="26"/>
            <w:szCs w:val="26"/>
            <w:lang w:eastAsia="es-CO"/>
          </w:rPr>
          <w:t>gerencia@odontovital.com.co</w:t>
        </w:r>
      </w:hyperlink>
      <w:r w:rsidR="00D61E25">
        <w:rPr>
          <w:rFonts w:ascii="Garamond" w:eastAsia="Times New Roman" w:hAnsi="Garamond" w:cs="Arial"/>
          <w:sz w:val="26"/>
          <w:szCs w:val="26"/>
          <w:lang w:eastAsia="es-CO"/>
        </w:rPr>
        <w:t xml:space="preserve"> </w:t>
      </w:r>
      <w:bookmarkStart w:id="0" w:name="_GoBack"/>
      <w:bookmarkEnd w:id="0"/>
      <w:r w:rsidR="00D61E25">
        <w:fldChar w:fldCharType="begin"/>
      </w:r>
      <w:r w:rsidR="00D61E25">
        <w:instrText xml:space="preserve"> HYPERLINK "mailto:servicioalcliente@distrijam.com" </w:instrText>
      </w:r>
      <w:r w:rsidR="00D61E25">
        <w:fldChar w:fldCharType="separate"/>
      </w:r>
      <w:r w:rsidR="00D61E25">
        <w:fldChar w:fldCharType="end"/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Tenga en cuenta que una vez usted ponga en conocimiento al área responsable al interior de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, dependiendo de a cuál de ellas vaya dirigida su petición, se dará trámite a la consulta, solicitud o queja.</w:t>
      </w:r>
    </w:p>
    <w:p w:rsidR="002E0DEB" w:rsidRPr="00F433D9" w:rsidRDefault="004A5B9D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Podrá consultar a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="002E0DEB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respecto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de los datos personales que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="00D7242C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  <w:r w:rsidR="002E0DEB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tenga almacenados en sus bases de datos, para las cuales será necesario que el solicitante o su representante legal acrediten previamente su identidad. Dicha consulta será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atendida por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="00D7242C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  <w:r w:rsidR="002E0DEB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en un término máximo de diez (10) días hábiles contados a partir de la fecha de recibo de la misma. Este p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lazo podrá ser ampliado por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="002E0DEB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en una sola ocasión, en cuyo caso le serán informados los motivos de la demora y la fecha en que se atenderá su solicitud, la cual en ningún caso será superior a cinco (5) días hábiles siguientes al vencimiento del primer término.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Cuando no fuere posible atender la consul</w:t>
      </w:r>
      <w:r w:rsidR="004A5B9D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ta dentro de dicho término,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="00D7242C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hará de su conocimiento, expresando los motivos de la demora y señalando la fecha en que se atenderá su consulta, la cual en ningún caso podrá superar los cinco (5) días hábiles siguientes al vencimiento del primer término.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Su solicitud o petición relacionada con reclamos, actualizaciones, correcciones, o supresión de sus datos personales deberá ser atendida en un término máximo de quince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lastRenderedPageBreak/>
        <w:t>(15) días hábiles desde el recibo de la solicitud o petición. Para la correcta y completa consideración de su petición, solicitud o reclamo, le solicitamos allegar la identidad del solicitante, su número de identificación, la dirección de notificaciones/respuestas y los documentos que quiere hacer valer.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Si su solicitud o petición no tiene los datos y hechos</w:t>
      </w:r>
      <w:r w:rsidR="004A5B9D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suficientes que permiten a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="00D7242C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atenderla de forma correcta y completa, se le requerirá dentro de los cinco (5) días siguientes a la recepción de la solicitud, petición o reclamo para que subsane sus fallas. Después de transcurridos dos (2) meses desde la fecha del requerimiento, si usted como solicitante no ha subsanado según lo requerido,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ODONTOVITAL</w:t>
      </w:r>
      <w:r w:rsidR="00D7242C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receptora de su petición entiende que ha desistido de su solicitud.</w:t>
      </w:r>
    </w:p>
    <w:p w:rsidR="002E0DEB" w:rsidRPr="00F433D9" w:rsidRDefault="00D7242C" w:rsidP="00D7242C">
      <w:pPr>
        <w:spacing w:after="180" w:line="360" w:lineRule="auto"/>
        <w:jc w:val="center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D7242C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MODIFICACIÓN DE ESTA POLÍTICA</w:t>
      </w:r>
    </w:p>
    <w:p w:rsidR="002E0DEB" w:rsidRPr="00F433D9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Esta política puede ser modificada en cualquier momento, avisándole del cambio y se pondrá a su disposición la última versión de esta Política o los mecanismos para obtener una copia de la misma.</w:t>
      </w:r>
    </w:p>
    <w:p w:rsidR="00D7242C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D7242C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 xml:space="preserve">Fecha de entrada </w:t>
      </w:r>
      <w:r w:rsidR="004A5B9D" w:rsidRPr="00D7242C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en vigencia:</w:t>
      </w:r>
      <w:r w:rsidR="004A5B9D"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27 de Octubre de 2016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</w:t>
      </w:r>
    </w:p>
    <w:p w:rsidR="002E0DEB" w:rsidRDefault="002E0DEB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D7242C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Periodo de vigencia de las bases de datos: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La vigencia de la base de datos </w:t>
      </w:r>
      <w:r w:rsidR="00D7242C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para los empleados, contratistas y proveedores </w:t>
      </w:r>
      <w:r w:rsidRPr="00F433D9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será el tiempo razonable y necesario para cumplir con las finalidades del tratamiento de la información</w:t>
      </w:r>
      <w:r w:rsidR="00A77E86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.</w:t>
      </w:r>
    </w:p>
    <w:p w:rsidR="00A77E86" w:rsidRDefault="00A77E86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>Para los usuarios la historia clínica reposara en los siguientes archivos según corresponda:</w:t>
      </w:r>
    </w:p>
    <w:p w:rsidR="00A77E86" w:rsidRDefault="00A77E86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A77E86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Archivo de Gestión:</w:t>
      </w:r>
      <w:r w:rsidRPr="00A77E86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Es aquel donde reposan las Historias Clínicas de los Usuarios activos y de los que no han utilizado el servicio durante los cinco años siguientes a la última atención. </w:t>
      </w:r>
    </w:p>
    <w:p w:rsidR="00A77E86" w:rsidRDefault="00A77E86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A77E86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lastRenderedPageBreak/>
        <w:t>Archivo Central:</w:t>
      </w:r>
      <w:r w:rsidRPr="00A77E86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Es aquel donde reposan las Historias Clínicas de los Usuarios que no volvieron a usar los servicios de atención en salud del prestador, transcurridos 5 añ</w:t>
      </w:r>
      <w:r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os desde la última atención. </w:t>
      </w:r>
    </w:p>
    <w:p w:rsidR="00A77E86" w:rsidRPr="00F433D9" w:rsidRDefault="00A77E86" w:rsidP="00F433D9">
      <w:pPr>
        <w:spacing w:after="18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  <w:r w:rsidRPr="00A77E86">
        <w:rPr>
          <w:rFonts w:ascii="Garamond" w:eastAsia="Times New Roman" w:hAnsi="Garamond" w:cs="Arial"/>
          <w:b/>
          <w:color w:val="000000"/>
          <w:sz w:val="26"/>
          <w:szCs w:val="26"/>
          <w:lang w:eastAsia="es-CO"/>
        </w:rPr>
        <w:t>Archivo Histórico:</w:t>
      </w:r>
      <w:r w:rsidRPr="00A77E86">
        <w:rPr>
          <w:rFonts w:ascii="Garamond" w:eastAsia="Times New Roman" w:hAnsi="Garamond" w:cs="Arial"/>
          <w:color w:val="000000"/>
          <w:sz w:val="26"/>
          <w:szCs w:val="26"/>
          <w:lang w:eastAsia="es-CO"/>
        </w:rPr>
        <w:t xml:space="preserve"> Es aquel al cual se transfieren las Historias Clínicas que por su valor científico, histórico o cultural, deben ser conservadas permanentemente.</w:t>
      </w:r>
    </w:p>
    <w:p w:rsidR="00BB5F60" w:rsidRPr="00A77E86" w:rsidRDefault="00BB5F60" w:rsidP="00F433D9">
      <w:pPr>
        <w:spacing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es-CO"/>
        </w:rPr>
      </w:pPr>
    </w:p>
    <w:sectPr w:rsidR="00BB5F60" w:rsidRPr="00A77E86" w:rsidSect="00F433D9">
      <w:headerReference w:type="default" r:id="rId8"/>
      <w:pgSz w:w="12240" w:h="15840"/>
      <w:pgMar w:top="262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C7" w:rsidRDefault="00062FC7" w:rsidP="00062FC7">
      <w:pPr>
        <w:spacing w:after="0" w:line="240" w:lineRule="auto"/>
      </w:pPr>
      <w:r>
        <w:separator/>
      </w:r>
    </w:p>
  </w:endnote>
  <w:endnote w:type="continuationSeparator" w:id="0">
    <w:p w:rsidR="00062FC7" w:rsidRDefault="00062FC7" w:rsidP="0006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C7" w:rsidRDefault="00062FC7" w:rsidP="00062FC7">
      <w:pPr>
        <w:spacing w:after="0" w:line="240" w:lineRule="auto"/>
      </w:pPr>
      <w:r>
        <w:separator/>
      </w:r>
    </w:p>
  </w:footnote>
  <w:footnote w:type="continuationSeparator" w:id="0">
    <w:p w:rsidR="00062FC7" w:rsidRDefault="00062FC7" w:rsidP="0006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092438542"/>
      <w:docPartObj>
        <w:docPartGallery w:val="Page Numbers (Top of Page)"/>
        <w:docPartUnique/>
      </w:docPartObj>
    </w:sdtPr>
    <w:sdtEndPr/>
    <w:sdtContent>
      <w:p w:rsidR="00F433D9" w:rsidRDefault="00F433D9">
        <w:pPr>
          <w:pStyle w:val="Encabezado"/>
          <w:jc w:val="right"/>
          <w:rPr>
            <w:sz w:val="28"/>
            <w:szCs w:val="28"/>
          </w:rPr>
        </w:pPr>
      </w:p>
      <w:tbl>
        <w:tblPr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2520"/>
          <w:gridCol w:w="3960"/>
          <w:gridCol w:w="2842"/>
        </w:tblGrid>
        <w:tr w:rsidR="00F433D9" w:rsidRPr="00EA1A55" w:rsidTr="00CE42A6">
          <w:trPr>
            <w:trHeight w:val="1031"/>
          </w:trPr>
          <w:tc>
            <w:tcPr>
              <w:tcW w:w="2520" w:type="dxa"/>
              <w:vAlign w:val="center"/>
            </w:tcPr>
            <w:p w:rsidR="00F433D9" w:rsidRPr="00EA1A55" w:rsidRDefault="00F433D9" w:rsidP="00F433D9">
              <w:pPr>
                <w:rPr>
                  <w:rFonts w:ascii="Arial Narrow" w:hAnsi="Arial Narrow" w:cs="Arial"/>
                  <w:b/>
                </w:rPr>
              </w:pPr>
              <w:r>
                <w:rPr>
                  <w:noProof/>
                  <w:lang w:eastAsia="es-CO"/>
                </w:rPr>
                <w:drawing>
                  <wp:anchor distT="0" distB="0" distL="114300" distR="114300" simplePos="0" relativeHeight="251659264" behindDoc="0" locked="0" layoutInCell="1" allowOverlap="1" wp14:anchorId="36CBEADC" wp14:editId="47FDC467">
                    <wp:simplePos x="0" y="0"/>
                    <wp:positionH relativeFrom="column">
                      <wp:posOffset>-88265</wp:posOffset>
                    </wp:positionH>
                    <wp:positionV relativeFrom="paragraph">
                      <wp:posOffset>12065</wp:posOffset>
                    </wp:positionV>
                    <wp:extent cx="1619250" cy="666750"/>
                    <wp:effectExtent l="0" t="0" r="0" b="0"/>
                    <wp:wrapNone/>
                    <wp:docPr id="6" name="Imagen 6" descr="odontovit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1" descr="odontovit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6667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960" w:type="dxa"/>
              <w:vAlign w:val="center"/>
            </w:tcPr>
            <w:p w:rsidR="00F433D9" w:rsidRDefault="00F433D9" w:rsidP="00F433D9">
              <w:pPr>
                <w:jc w:val="center"/>
                <w:rPr>
                  <w:rFonts w:ascii="Arial Narrow" w:hAnsi="Arial Narrow" w:cs="Arial"/>
                  <w:b/>
                </w:rPr>
              </w:pPr>
              <w:r>
                <w:rPr>
                  <w:rFonts w:ascii="Arial Narrow" w:hAnsi="Arial Narrow" w:cs="Arial"/>
                  <w:b/>
                </w:rPr>
                <w:t xml:space="preserve">POLITICA DE TRATAMIENTO DE </w:t>
              </w:r>
            </w:p>
            <w:p w:rsidR="00F433D9" w:rsidRPr="00EA1A55" w:rsidRDefault="00F433D9" w:rsidP="00F433D9">
              <w:pPr>
                <w:jc w:val="center"/>
                <w:rPr>
                  <w:rFonts w:ascii="Arial Narrow" w:hAnsi="Arial Narrow" w:cs="Arial"/>
                  <w:b/>
                </w:rPr>
              </w:pPr>
              <w:r>
                <w:rPr>
                  <w:rFonts w:ascii="Arial Narrow" w:hAnsi="Arial Narrow" w:cs="Arial"/>
                  <w:b/>
                </w:rPr>
                <w:t>DATOS PERSONALES</w:t>
              </w:r>
            </w:p>
          </w:tc>
          <w:tc>
            <w:tcPr>
              <w:tcW w:w="2842" w:type="dxa"/>
              <w:vAlign w:val="center"/>
            </w:tcPr>
            <w:p w:rsidR="00F433D9" w:rsidRPr="00890B6D" w:rsidRDefault="00F433D9" w:rsidP="00F433D9">
              <w:pPr>
                <w:rPr>
                  <w:rFonts w:ascii="Arial Narrow" w:hAnsi="Arial Narrow" w:cs="Arial"/>
                  <w:b/>
                  <w:sz w:val="20"/>
                  <w:szCs w:val="20"/>
                </w:rPr>
              </w:pPr>
              <w:r>
                <w:rPr>
                  <w:rFonts w:ascii="Arial Narrow" w:hAnsi="Arial Narrow" w:cs="Arial"/>
                  <w:b/>
                  <w:sz w:val="20"/>
                  <w:szCs w:val="20"/>
                </w:rPr>
                <w:t>VERSION          01</w:t>
              </w:r>
              <w:r w:rsidRPr="00EA1A55">
                <w:rPr>
                  <w:rFonts w:ascii="Arial Narrow" w:hAnsi="Arial Narrow" w:cs="Arial"/>
                  <w:b/>
                  <w:sz w:val="20"/>
                  <w:szCs w:val="20"/>
                </w:rPr>
                <w:t xml:space="preserve">                       </w:t>
              </w:r>
              <w:r>
                <w:rPr>
                  <w:rFonts w:ascii="Arial Narrow" w:hAnsi="Arial Narrow" w:cs="Arial"/>
                  <w:b/>
                  <w:sz w:val="20"/>
                  <w:szCs w:val="20"/>
                </w:rPr>
                <w:t xml:space="preserve">    FECHA             27 – 10 -2016</w:t>
              </w:r>
            </w:p>
          </w:tc>
        </w:tr>
      </w:tbl>
      <w:p w:rsidR="00062FC7" w:rsidRPr="00062FC7" w:rsidRDefault="00D61E25" w:rsidP="00F433D9">
        <w:pPr>
          <w:pStyle w:val="Encabezado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2D15"/>
    <w:multiLevelType w:val="hybridMultilevel"/>
    <w:tmpl w:val="711A6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5590"/>
    <w:multiLevelType w:val="hybridMultilevel"/>
    <w:tmpl w:val="8D1C17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5C1618"/>
    <w:multiLevelType w:val="hybridMultilevel"/>
    <w:tmpl w:val="76D42E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785163"/>
    <w:multiLevelType w:val="hybridMultilevel"/>
    <w:tmpl w:val="0D8640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275CD5"/>
    <w:multiLevelType w:val="hybridMultilevel"/>
    <w:tmpl w:val="82080D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4561A"/>
    <w:multiLevelType w:val="hybridMultilevel"/>
    <w:tmpl w:val="EA9871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381E99"/>
    <w:multiLevelType w:val="hybridMultilevel"/>
    <w:tmpl w:val="3878D4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4006C4"/>
    <w:multiLevelType w:val="hybridMultilevel"/>
    <w:tmpl w:val="56C67A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B"/>
    <w:rsid w:val="00062FC7"/>
    <w:rsid w:val="00110BD3"/>
    <w:rsid w:val="001649B0"/>
    <w:rsid w:val="001A0500"/>
    <w:rsid w:val="001A77DB"/>
    <w:rsid w:val="001C40AA"/>
    <w:rsid w:val="001F5195"/>
    <w:rsid w:val="00211F8E"/>
    <w:rsid w:val="002E0DEB"/>
    <w:rsid w:val="00337938"/>
    <w:rsid w:val="003A4CD0"/>
    <w:rsid w:val="004838B6"/>
    <w:rsid w:val="004A5B9D"/>
    <w:rsid w:val="00612046"/>
    <w:rsid w:val="006E4682"/>
    <w:rsid w:val="00824E4F"/>
    <w:rsid w:val="008A0507"/>
    <w:rsid w:val="008A6F3E"/>
    <w:rsid w:val="008D2F4F"/>
    <w:rsid w:val="009000A1"/>
    <w:rsid w:val="00A77E86"/>
    <w:rsid w:val="00A837BC"/>
    <w:rsid w:val="00A9156C"/>
    <w:rsid w:val="00BB5F60"/>
    <w:rsid w:val="00BC07FA"/>
    <w:rsid w:val="00D054FB"/>
    <w:rsid w:val="00D61E25"/>
    <w:rsid w:val="00D7242C"/>
    <w:rsid w:val="00DA576F"/>
    <w:rsid w:val="00E24BC7"/>
    <w:rsid w:val="00EB67DC"/>
    <w:rsid w:val="00F4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  <w15:docId w15:val="{C4E91775-CD3C-47ED-B492-5EBD4CE1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E0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0DEB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E0DEB"/>
  </w:style>
  <w:style w:type="character" w:styleId="Hipervnculo">
    <w:name w:val="Hyperlink"/>
    <w:basedOn w:val="Fuentedeprrafopredeter"/>
    <w:uiPriority w:val="99"/>
    <w:unhideWhenUsed/>
    <w:rsid w:val="002E0D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7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2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FC7"/>
  </w:style>
  <w:style w:type="paragraph" w:styleId="Piedepgina">
    <w:name w:val="footer"/>
    <w:basedOn w:val="Normal"/>
    <w:link w:val="PiedepginaCar"/>
    <w:uiPriority w:val="99"/>
    <w:unhideWhenUsed/>
    <w:rsid w:val="00062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@odontovital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2840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2016-10-12T21:35:00Z</cp:lastPrinted>
  <dcterms:created xsi:type="dcterms:W3CDTF">2016-10-27T15:24:00Z</dcterms:created>
  <dcterms:modified xsi:type="dcterms:W3CDTF">2016-11-02T19:14:00Z</dcterms:modified>
</cp:coreProperties>
</file>